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Default="00B83A84" w:rsidP="00B0711E">
      <w:pPr>
        <w:pStyle w:val="NormalWeb"/>
        <w:spacing w:before="0" w:beforeAutospacing="0" w:after="0" w:afterAutospacing="0"/>
        <w:rPr>
          <w:color w:val="0E101A"/>
        </w:rPr>
      </w:pPr>
    </w:p>
    <w:p w:rsidR="00B83A84" w:rsidRPr="00B83A84" w:rsidRDefault="00B83A84" w:rsidP="00B83A84">
      <w:pPr>
        <w:pStyle w:val="NormalWeb"/>
        <w:spacing w:before="0" w:beforeAutospacing="0" w:after="0" w:afterAutospacing="0" w:line="480" w:lineRule="auto"/>
        <w:jc w:val="center"/>
        <w:rPr>
          <w:color w:val="0E101A"/>
        </w:rPr>
      </w:pPr>
      <w:r w:rsidRPr="00B83A84">
        <w:rPr>
          <w:color w:val="0E101A"/>
        </w:rPr>
        <w:t>Pharmacology of Drugs</w:t>
      </w:r>
    </w:p>
    <w:p w:rsidR="00B83A84" w:rsidRPr="00B83A84" w:rsidRDefault="00B83A84" w:rsidP="00B83A84">
      <w:pPr>
        <w:pStyle w:val="NormalWeb"/>
        <w:spacing w:before="0" w:beforeAutospacing="0" w:after="0" w:afterAutospacing="0" w:line="480" w:lineRule="auto"/>
        <w:jc w:val="center"/>
        <w:rPr>
          <w:color w:val="0E101A"/>
        </w:rPr>
      </w:pPr>
      <w:r w:rsidRPr="00B83A84">
        <w:rPr>
          <w:color w:val="0E101A"/>
        </w:rPr>
        <w:t>Student’s Name</w:t>
      </w:r>
    </w:p>
    <w:p w:rsidR="00B83A84" w:rsidRPr="00B83A84" w:rsidRDefault="00B83A84" w:rsidP="00B83A84">
      <w:pPr>
        <w:pStyle w:val="NormalWeb"/>
        <w:spacing w:before="0" w:beforeAutospacing="0" w:after="0" w:afterAutospacing="0" w:line="480" w:lineRule="auto"/>
        <w:jc w:val="center"/>
        <w:rPr>
          <w:color w:val="0E101A"/>
        </w:rPr>
      </w:pPr>
      <w:r w:rsidRPr="00B83A84">
        <w:rPr>
          <w:color w:val="0E101A"/>
        </w:rPr>
        <w:t>Institution</w:t>
      </w:r>
    </w:p>
    <w:p w:rsidR="00B83A84" w:rsidRPr="00B83A84" w:rsidRDefault="00B83A84" w:rsidP="00B83A84">
      <w:pPr>
        <w:pStyle w:val="NormalWeb"/>
        <w:spacing w:before="0" w:beforeAutospacing="0" w:after="0" w:afterAutospacing="0" w:line="480" w:lineRule="auto"/>
        <w:jc w:val="center"/>
        <w:rPr>
          <w:color w:val="0E101A"/>
        </w:rPr>
      </w:pPr>
      <w:r w:rsidRPr="00B83A84">
        <w:rPr>
          <w:color w:val="0E101A"/>
        </w:rPr>
        <w:t>Date</w:t>
      </w:r>
    </w:p>
    <w:p w:rsidR="00B83A84" w:rsidRPr="00B83A84" w:rsidRDefault="00B83A84" w:rsidP="00B83A84">
      <w:pPr>
        <w:pStyle w:val="NormalWeb"/>
        <w:spacing w:before="0" w:beforeAutospacing="0" w:after="0" w:afterAutospacing="0" w:line="480" w:lineRule="auto"/>
        <w:jc w:val="center"/>
        <w:rPr>
          <w:color w:val="0E101A"/>
        </w:rPr>
      </w:pPr>
    </w:p>
    <w:p w:rsidR="00B83A84" w:rsidRPr="00B83A84" w:rsidRDefault="00B83A84" w:rsidP="00B83A84">
      <w:pPr>
        <w:pStyle w:val="NormalWeb"/>
        <w:spacing w:before="0" w:beforeAutospacing="0" w:after="0" w:afterAutospacing="0" w:line="480" w:lineRule="auto"/>
        <w:jc w:val="center"/>
        <w:rPr>
          <w:color w:val="0E101A"/>
        </w:rPr>
      </w:pPr>
    </w:p>
    <w:p w:rsidR="00B83A84" w:rsidRPr="00B83A84" w:rsidRDefault="00B83A84" w:rsidP="00B83A84">
      <w:pPr>
        <w:pStyle w:val="NormalWeb"/>
        <w:spacing w:before="0" w:beforeAutospacing="0" w:after="0" w:afterAutospacing="0" w:line="480" w:lineRule="auto"/>
        <w:jc w:val="center"/>
        <w:rPr>
          <w:color w:val="0E101A"/>
        </w:rPr>
      </w:pPr>
    </w:p>
    <w:p w:rsidR="00B83A84" w:rsidRPr="00B83A84" w:rsidRDefault="00B83A84" w:rsidP="00B83A84">
      <w:pPr>
        <w:pStyle w:val="NormalWeb"/>
        <w:spacing w:before="0" w:beforeAutospacing="0" w:after="0" w:afterAutospacing="0" w:line="480" w:lineRule="auto"/>
        <w:jc w:val="center"/>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center"/>
        <w:rPr>
          <w:color w:val="0E101A"/>
        </w:rPr>
      </w:pPr>
      <w:r>
        <w:rPr>
          <w:color w:val="0E101A"/>
        </w:rPr>
        <w:t>Pharmacology of Drugs</w:t>
      </w:r>
    </w:p>
    <w:p w:rsidR="00B83A84" w:rsidRPr="00B83A84" w:rsidRDefault="00B83A84" w:rsidP="00B83A84">
      <w:pPr>
        <w:pStyle w:val="NormalWeb"/>
        <w:spacing w:before="0" w:beforeAutospacing="0" w:after="0" w:afterAutospacing="0" w:line="480" w:lineRule="auto"/>
        <w:jc w:val="both"/>
        <w:rPr>
          <w:b/>
          <w:color w:val="0E101A"/>
        </w:rPr>
      </w:pPr>
      <w:r w:rsidRPr="00B83A84">
        <w:rPr>
          <w:b/>
          <w:color w:val="0E101A"/>
        </w:rPr>
        <w:t>How particular drugs lend themselves to people and culture depending on their duration, potential and subjective effects</w:t>
      </w:r>
    </w:p>
    <w:p w:rsidR="00B0711E" w:rsidRDefault="00B0711E" w:rsidP="00B83A84">
      <w:pPr>
        <w:pStyle w:val="NormalWeb"/>
        <w:spacing w:before="0" w:beforeAutospacing="0" w:after="0" w:afterAutospacing="0" w:line="480" w:lineRule="auto"/>
        <w:ind w:firstLine="720"/>
        <w:jc w:val="both"/>
        <w:rPr>
          <w:color w:val="0E101A"/>
        </w:rPr>
      </w:pPr>
      <w:r w:rsidRPr="00B83A84">
        <w:rPr>
          <w:color w:val="0E101A"/>
        </w:rPr>
        <w:t>Different cultures and religions have a variety of meanings and symbols of a particular drug. Some faiths may acknowledge a specific drug, with the belief that it strengthens their bond, and others disown that particular drug. For instance, an American church uses peyote as a sacrament for their members to obtain supernatural powers a</w:t>
      </w:r>
      <w:r w:rsidR="004D7D99">
        <w:rPr>
          <w:color w:val="0E101A"/>
        </w:rPr>
        <w:t>nd favors, while some people</w:t>
      </w:r>
      <w:r w:rsidRPr="00B83A84">
        <w:rPr>
          <w:color w:val="0E101A"/>
        </w:rPr>
        <w:t xml:space="preserve"> originating in different religion disowning them. Additionally, some societi</w:t>
      </w:r>
      <w:r w:rsidR="004D7D99">
        <w:rPr>
          <w:color w:val="0E101A"/>
        </w:rPr>
        <w:t>es recommend ataxia since it is</w:t>
      </w:r>
      <w:r w:rsidRPr="00B83A84">
        <w:rPr>
          <w:color w:val="0E101A"/>
        </w:rPr>
        <w:t xml:space="preserve"> a short duration drug, to help an individual to successfully respite responsibilities and roles by reducing memory (Westermeyer,2018), for proper health maintenance. Indians also have their peers use alcohol to initiate the young youths into adolescence, which is taken in small amounts and short duration.</w:t>
      </w:r>
    </w:p>
    <w:p w:rsidR="00B83A84" w:rsidRPr="00B83A84" w:rsidRDefault="00B83A84" w:rsidP="00B83A84">
      <w:pPr>
        <w:pStyle w:val="NormalWeb"/>
        <w:spacing w:before="0" w:beforeAutospacing="0" w:after="0" w:afterAutospacing="0" w:line="480" w:lineRule="auto"/>
        <w:jc w:val="both"/>
        <w:rPr>
          <w:b/>
          <w:color w:val="0E101A"/>
        </w:rPr>
      </w:pPr>
      <w:r w:rsidRPr="00B83A84">
        <w:rPr>
          <w:b/>
          <w:color w:val="0E101A"/>
        </w:rPr>
        <w:t>Homeostasis difference depending on an individual</w:t>
      </w:r>
    </w:p>
    <w:p w:rsidR="00B0711E" w:rsidRDefault="00B0711E" w:rsidP="00B83A84">
      <w:pPr>
        <w:pStyle w:val="NormalWeb"/>
        <w:spacing w:before="0" w:beforeAutospacing="0" w:after="0" w:afterAutospacing="0" w:line="480" w:lineRule="auto"/>
        <w:ind w:firstLine="720"/>
        <w:jc w:val="both"/>
        <w:rPr>
          <w:color w:val="0E101A"/>
        </w:rPr>
      </w:pPr>
      <w:r w:rsidRPr="00B83A84">
        <w:rPr>
          <w:color w:val="0E101A"/>
        </w:rPr>
        <w:t xml:space="preserve">Homeostasis is different for various individuals. However, it involves balancing in cells for an excellent </w:t>
      </w:r>
      <w:r w:rsidR="00B83A84" w:rsidRPr="00B83A84">
        <w:rPr>
          <w:color w:val="0E101A"/>
        </w:rPr>
        <w:t>favourable</w:t>
      </w:r>
      <w:r w:rsidRPr="00B83A84">
        <w:rPr>
          <w:color w:val="0E101A"/>
        </w:rPr>
        <w:t xml:space="preserve"> environment in living organisms. Once any changes occur from the external and internal, a homeostasis regulation is conducted. Variation in the homeostasis process is dependent on the activities of an individual (CK-12,2019). For instance, in a breastfeeding mother, the mammary glands once stimulated sends a message to glands, which </w:t>
      </w:r>
      <w:r w:rsidR="00966883">
        <w:rPr>
          <w:color w:val="0E101A"/>
        </w:rPr>
        <w:t>pro</w:t>
      </w:r>
      <w:r w:rsidRPr="00B83A84">
        <w:rPr>
          <w:color w:val="0E101A"/>
        </w:rPr>
        <w:t>duce hormone prolactin to ensure the continuous production of milk. Also, people in a cold environment significantly differ from people in arid areas, where thermoregulation is always active. For the desert areas, the hypothalamus of the individuals living there has continuous stimulation causing the secretion of sweat.</w:t>
      </w:r>
    </w:p>
    <w:p w:rsidR="00B83A84" w:rsidRPr="00B83A84" w:rsidRDefault="00B83A84" w:rsidP="00B83A84">
      <w:pPr>
        <w:pStyle w:val="NormalWeb"/>
        <w:spacing w:before="0" w:beforeAutospacing="0" w:after="0" w:afterAutospacing="0" w:line="480" w:lineRule="auto"/>
        <w:jc w:val="both"/>
        <w:rPr>
          <w:b/>
          <w:color w:val="0E101A"/>
        </w:rPr>
      </w:pPr>
      <w:r w:rsidRPr="00B83A84">
        <w:rPr>
          <w:b/>
          <w:color w:val="0E101A"/>
        </w:rPr>
        <w:t>Why toxic and dangerous psychoactive substances are loosely unscheduled while the non-toxic substances are in Schedule 1</w:t>
      </w:r>
    </w:p>
    <w:p w:rsidR="00B0711E" w:rsidRDefault="00B0711E" w:rsidP="00B83A84">
      <w:pPr>
        <w:pStyle w:val="NormalWeb"/>
        <w:spacing w:before="0" w:beforeAutospacing="0" w:after="0" w:afterAutospacing="0" w:line="480" w:lineRule="auto"/>
        <w:ind w:firstLine="720"/>
        <w:jc w:val="both"/>
        <w:rPr>
          <w:color w:val="0E101A"/>
        </w:rPr>
      </w:pPr>
      <w:r w:rsidRPr="00B83A84">
        <w:rPr>
          <w:color w:val="0E101A"/>
        </w:rPr>
        <w:lastRenderedPageBreak/>
        <w:t xml:space="preserve">Alcohol and other mild stimulants improve memory and attention of an individual hence boosting the waking up and performance in their activities. They are unscheduled since they offer some relaxation and enjoyment to people (Obot,2011). Despite their significant risk, it believed that the dangers only increase on the high rate of usage and </w:t>
      </w:r>
      <w:r w:rsidR="00B83A84">
        <w:rPr>
          <w:color w:val="0E101A"/>
        </w:rPr>
        <w:t>have a low dependency rate. In my opinion, non</w:t>
      </w:r>
      <w:r w:rsidRPr="00B83A84">
        <w:rPr>
          <w:color w:val="0E101A"/>
        </w:rPr>
        <w:t xml:space="preserve">-toxic substances are in the schedule </w:t>
      </w:r>
      <w:r w:rsidR="00966883">
        <w:rPr>
          <w:color w:val="0E101A"/>
        </w:rPr>
        <w:t xml:space="preserve">I </w:t>
      </w:r>
      <w:bookmarkStart w:id="0" w:name="_GoBack"/>
      <w:bookmarkEnd w:id="0"/>
      <w:r w:rsidRPr="00B83A84">
        <w:rPr>
          <w:color w:val="0E101A"/>
        </w:rPr>
        <w:t>since they are least harmful and offer no solution to any problem. They also don’t provide sufficient energy and difference in appearance for the body.</w:t>
      </w:r>
    </w:p>
    <w:p w:rsidR="00B83A84" w:rsidRPr="00B83A84" w:rsidRDefault="00B83A84" w:rsidP="00B83A84">
      <w:pPr>
        <w:pStyle w:val="NormalWeb"/>
        <w:spacing w:before="0" w:beforeAutospacing="0" w:after="0" w:afterAutospacing="0" w:line="480" w:lineRule="auto"/>
        <w:jc w:val="both"/>
        <w:rPr>
          <w:b/>
          <w:color w:val="0E101A"/>
        </w:rPr>
      </w:pPr>
      <w:r w:rsidRPr="00B83A84">
        <w:rPr>
          <w:b/>
          <w:color w:val="0E101A"/>
        </w:rPr>
        <w:t>Can human harness production of neurotransmitters without drugs</w:t>
      </w:r>
    </w:p>
    <w:p w:rsidR="00B0711E" w:rsidRDefault="00B0711E" w:rsidP="00B83A84">
      <w:pPr>
        <w:pStyle w:val="NormalWeb"/>
        <w:spacing w:before="0" w:beforeAutospacing="0" w:after="0" w:afterAutospacing="0" w:line="480" w:lineRule="auto"/>
        <w:ind w:firstLine="720"/>
        <w:jc w:val="both"/>
        <w:rPr>
          <w:color w:val="0E101A"/>
        </w:rPr>
      </w:pPr>
      <w:r w:rsidRPr="00B83A84">
        <w:rPr>
          <w:color w:val="0E101A"/>
        </w:rPr>
        <w:t>Generally, the introduction of the drug in the brain causes a change in neurotransmission, which either decreases or increases. Dopamine can be significantly affected by the intake of drugs like cocaine, which makes an individual feel more motivated (National Institute on Drug Abuse, 2017) and urges for more. Additionally, heroin causes neurotransmission that is almost normal to the one produced by the brains. It causes slowness in respiration and makes an individual be less alert, causing enkephalin and endorphin disruption, and stopping their release. Once a single neurotransmitter is affected, a secondary neurotransmitter has the same effect, which makes the user of the drug to be addicted and has an urge to have a similar experience.</w:t>
      </w:r>
    </w:p>
    <w:p w:rsidR="00B83A84" w:rsidRDefault="00B83A84" w:rsidP="00B83A84">
      <w:pPr>
        <w:pStyle w:val="NormalWeb"/>
        <w:spacing w:before="0" w:beforeAutospacing="0" w:after="0" w:afterAutospacing="0" w:line="480" w:lineRule="auto"/>
        <w:ind w:firstLine="720"/>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both"/>
        <w:rPr>
          <w:color w:val="0E101A"/>
        </w:rPr>
      </w:pPr>
    </w:p>
    <w:p w:rsidR="00B83A84" w:rsidRPr="00B83A84" w:rsidRDefault="00B83A84" w:rsidP="00B83A84">
      <w:pPr>
        <w:pStyle w:val="NormalWeb"/>
        <w:spacing w:before="0" w:beforeAutospacing="0" w:after="0" w:afterAutospacing="0" w:line="480" w:lineRule="auto"/>
        <w:jc w:val="center"/>
        <w:rPr>
          <w:color w:val="0E101A"/>
        </w:rPr>
      </w:pPr>
      <w:r>
        <w:rPr>
          <w:color w:val="0E101A"/>
        </w:rPr>
        <w:t>References</w:t>
      </w:r>
    </w:p>
    <w:p w:rsidR="00B83A84" w:rsidRPr="00B83A84" w:rsidRDefault="00B83A84" w:rsidP="00B83A84">
      <w:pPr>
        <w:pStyle w:val="NormalWeb"/>
        <w:spacing w:before="0" w:beforeAutospacing="0" w:after="0" w:afterAutospacing="0" w:line="480" w:lineRule="auto"/>
        <w:ind w:left="720" w:hanging="720"/>
        <w:jc w:val="both"/>
        <w:rPr>
          <w:color w:val="0E101A"/>
        </w:rPr>
      </w:pPr>
      <w:r w:rsidRPr="00B83A84">
        <w:rPr>
          <w:color w:val="0E101A"/>
        </w:rPr>
        <w:t>CK-12 (2019) Homeostasis and Human Body-Advanced Retrieved from </w:t>
      </w:r>
      <w:hyperlink r:id="rId6" w:tgtFrame="_blank" w:history="1">
        <w:r w:rsidRPr="00B83A84">
          <w:rPr>
            <w:rStyle w:val="Hyperlink"/>
            <w:color w:val="4A6EE0"/>
          </w:rPr>
          <w:t>https://www.ck12.org/book/ck-12-biology-advanced-concepts/section/17.4/</w:t>
        </w:r>
      </w:hyperlink>
    </w:p>
    <w:p w:rsidR="00B83A84" w:rsidRPr="00B83A84" w:rsidRDefault="00B83A84" w:rsidP="00B83A84">
      <w:pPr>
        <w:pStyle w:val="NormalWeb"/>
        <w:spacing w:before="0" w:beforeAutospacing="0" w:after="0" w:afterAutospacing="0" w:line="480" w:lineRule="auto"/>
        <w:ind w:left="720" w:hanging="720"/>
        <w:jc w:val="both"/>
        <w:rPr>
          <w:color w:val="0E101A"/>
        </w:rPr>
      </w:pPr>
      <w:r w:rsidRPr="00B83A84">
        <w:rPr>
          <w:color w:val="0E101A"/>
        </w:rPr>
        <w:t>J. Westermeyer (2018) Cultural patterns of drugs and alcohol use: an analysis of host and agent in the cultural environment </w:t>
      </w:r>
      <w:r w:rsidRPr="00B83A84">
        <w:rPr>
          <w:rStyle w:val="Emphasis"/>
          <w:color w:val="0E101A"/>
        </w:rPr>
        <w:t>unodc</w:t>
      </w:r>
      <w:r w:rsidRPr="00B83A84">
        <w:rPr>
          <w:color w:val="0E101A"/>
        </w:rPr>
        <w:t> Retrieved from </w:t>
      </w:r>
      <w:hyperlink r:id="rId7" w:tgtFrame="_blank" w:history="1">
        <w:r w:rsidRPr="00B83A84">
          <w:rPr>
            <w:rStyle w:val="Hyperlink"/>
            <w:color w:val="4A6EE0"/>
          </w:rPr>
          <w:t>https://www.unodc.org/unodc/en/data-and-analysis/bulletin/bulletin_1987-01-01_2_page003.html</w:t>
        </w:r>
      </w:hyperlink>
      <w:r w:rsidRPr="00B83A84">
        <w:rPr>
          <w:color w:val="0E101A"/>
        </w:rPr>
        <w:t> pg 11-27</w:t>
      </w:r>
    </w:p>
    <w:p w:rsidR="00B83A84" w:rsidRPr="00B83A84" w:rsidRDefault="00B83A84" w:rsidP="00B83A84">
      <w:pPr>
        <w:pStyle w:val="NormalWeb"/>
        <w:spacing w:before="0" w:beforeAutospacing="0" w:after="0" w:afterAutospacing="0" w:line="480" w:lineRule="auto"/>
        <w:ind w:left="720" w:hanging="720"/>
        <w:jc w:val="both"/>
        <w:rPr>
          <w:color w:val="0E101A"/>
        </w:rPr>
      </w:pPr>
      <w:r w:rsidRPr="00B83A84">
        <w:rPr>
          <w:color w:val="0E101A"/>
        </w:rPr>
        <w:t>National Institute on Drug Abuse( 2017, March 09) Impacts of Drugs on Neurotransmission </w:t>
      </w:r>
      <w:r w:rsidRPr="00B83A84">
        <w:rPr>
          <w:rStyle w:val="Emphasis"/>
          <w:color w:val="0E101A"/>
        </w:rPr>
        <w:t>NIDA</w:t>
      </w:r>
      <w:r w:rsidRPr="00B83A84">
        <w:rPr>
          <w:color w:val="0E101A"/>
        </w:rPr>
        <w:t> Retrieved from </w:t>
      </w:r>
      <w:hyperlink r:id="rId8" w:tgtFrame="_blank" w:history="1">
        <w:r w:rsidRPr="00B83A84">
          <w:rPr>
            <w:rStyle w:val="Hyperlink"/>
            <w:color w:val="4A6EE0"/>
          </w:rPr>
          <w:t>https://www.drugabuse.gov/news-events/nida-notes/2017/03/impacts-drugs-neurotransmission</w:t>
        </w:r>
      </w:hyperlink>
    </w:p>
    <w:p w:rsidR="00B83A84" w:rsidRPr="00B83A84" w:rsidRDefault="00B83A84" w:rsidP="00B83A84">
      <w:pPr>
        <w:pStyle w:val="NormalWeb"/>
        <w:spacing w:before="0" w:beforeAutospacing="0" w:after="0" w:afterAutospacing="0" w:line="480" w:lineRule="auto"/>
        <w:ind w:left="720" w:hanging="720"/>
        <w:jc w:val="both"/>
        <w:rPr>
          <w:color w:val="0E101A"/>
        </w:rPr>
      </w:pPr>
      <w:r w:rsidRPr="00B83A84">
        <w:rPr>
          <w:color w:val="0E101A"/>
        </w:rPr>
        <w:t>Obot I. (2011) Improved ranking of drugs on harmfulness can bring sense and order to a failed system. Addiction 106: 1894–1895</w:t>
      </w:r>
    </w:p>
    <w:p w:rsidR="00C631B5" w:rsidRPr="00B83A84" w:rsidRDefault="00C631B5" w:rsidP="00B83A84">
      <w:pPr>
        <w:spacing w:line="480" w:lineRule="auto"/>
        <w:jc w:val="both"/>
        <w:rPr>
          <w:rFonts w:ascii="Times New Roman" w:hAnsi="Times New Roman" w:cs="Times New Roman"/>
          <w:sz w:val="24"/>
          <w:szCs w:val="24"/>
        </w:rPr>
      </w:pPr>
    </w:p>
    <w:sectPr w:rsidR="00C631B5" w:rsidRPr="00B83A84" w:rsidSect="00B83A84">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E8B" w:rsidRDefault="005D1E8B" w:rsidP="00B83A84">
      <w:pPr>
        <w:spacing w:after="0" w:line="240" w:lineRule="auto"/>
      </w:pPr>
      <w:r>
        <w:separator/>
      </w:r>
    </w:p>
  </w:endnote>
  <w:endnote w:type="continuationSeparator" w:id="0">
    <w:p w:rsidR="005D1E8B" w:rsidRDefault="005D1E8B" w:rsidP="00B83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E8B" w:rsidRDefault="005D1E8B" w:rsidP="00B83A84">
      <w:pPr>
        <w:spacing w:after="0" w:line="240" w:lineRule="auto"/>
      </w:pPr>
      <w:r>
        <w:separator/>
      </w:r>
    </w:p>
  </w:footnote>
  <w:footnote w:type="continuationSeparator" w:id="0">
    <w:p w:rsidR="005D1E8B" w:rsidRDefault="005D1E8B" w:rsidP="00B83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2169888"/>
      <w:docPartObj>
        <w:docPartGallery w:val="Page Numbers (Top of Page)"/>
        <w:docPartUnique/>
      </w:docPartObj>
    </w:sdtPr>
    <w:sdtEndPr>
      <w:rPr>
        <w:noProof/>
      </w:rPr>
    </w:sdtEndPr>
    <w:sdtContent>
      <w:p w:rsidR="00B83A84" w:rsidRDefault="00B83A84">
        <w:pPr>
          <w:pStyle w:val="Header"/>
          <w:jc w:val="right"/>
        </w:pPr>
        <w:r w:rsidRPr="00B83A84">
          <w:rPr>
            <w:rFonts w:ascii="Times New Roman" w:hAnsi="Times New Roman" w:cs="Times New Roman"/>
            <w:sz w:val="24"/>
            <w:szCs w:val="24"/>
          </w:rPr>
          <w:fldChar w:fldCharType="begin"/>
        </w:r>
        <w:r w:rsidRPr="00B83A84">
          <w:rPr>
            <w:rFonts w:ascii="Times New Roman" w:hAnsi="Times New Roman" w:cs="Times New Roman"/>
            <w:sz w:val="24"/>
            <w:szCs w:val="24"/>
          </w:rPr>
          <w:instrText xml:space="preserve"> PAGE   \* MERGEFORMAT </w:instrText>
        </w:r>
        <w:r w:rsidRPr="00B83A84">
          <w:rPr>
            <w:rFonts w:ascii="Times New Roman" w:hAnsi="Times New Roman" w:cs="Times New Roman"/>
            <w:sz w:val="24"/>
            <w:szCs w:val="24"/>
          </w:rPr>
          <w:fldChar w:fldCharType="separate"/>
        </w:r>
        <w:r w:rsidR="00966883">
          <w:rPr>
            <w:rFonts w:ascii="Times New Roman" w:hAnsi="Times New Roman" w:cs="Times New Roman"/>
            <w:noProof/>
            <w:sz w:val="24"/>
            <w:szCs w:val="24"/>
          </w:rPr>
          <w:t>4</w:t>
        </w:r>
        <w:r w:rsidRPr="00B83A84">
          <w:rPr>
            <w:rFonts w:ascii="Times New Roman" w:hAnsi="Times New Roman" w:cs="Times New Roman"/>
            <w:noProof/>
            <w:sz w:val="24"/>
            <w:szCs w:val="24"/>
          </w:rPr>
          <w:fldChar w:fldCharType="end"/>
        </w:r>
      </w:p>
    </w:sdtContent>
  </w:sdt>
  <w:p w:rsidR="00B83A84" w:rsidRDefault="00B83A84">
    <w:pPr>
      <w:pStyle w:val="Header"/>
    </w:pPr>
    <w:r w:rsidRPr="00B83A84">
      <w:rPr>
        <w:rFonts w:ascii="Times New Roman" w:hAnsi="Times New Roman" w:cs="Times New Roman"/>
        <w:sz w:val="24"/>
        <w:szCs w:val="24"/>
      </w:rPr>
      <w:t>PHARMACOLOGY OF DRUGS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A84" w:rsidRPr="00B83A84" w:rsidRDefault="00B83A84" w:rsidP="00B83A84">
    <w:pPr>
      <w:pStyle w:val="Header"/>
      <w:spacing w:line="480" w:lineRule="auto"/>
      <w:rPr>
        <w:rFonts w:ascii="Times New Roman" w:hAnsi="Times New Roman" w:cs="Times New Roman"/>
        <w:sz w:val="24"/>
        <w:szCs w:val="24"/>
      </w:rPr>
    </w:pPr>
    <w:r w:rsidRPr="00B83A84">
      <w:rPr>
        <w:rFonts w:ascii="Times New Roman" w:hAnsi="Times New Roman" w:cs="Times New Roman"/>
        <w:sz w:val="24"/>
        <w:szCs w:val="24"/>
      </w:rPr>
      <w:t>Running Head: PHARMACOLOGY OF DRUGS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44"/>
    <w:rsid w:val="000543F7"/>
    <w:rsid w:val="00263044"/>
    <w:rsid w:val="004D7D99"/>
    <w:rsid w:val="005D1E8B"/>
    <w:rsid w:val="006F17C0"/>
    <w:rsid w:val="008F4968"/>
    <w:rsid w:val="00966883"/>
    <w:rsid w:val="00A51941"/>
    <w:rsid w:val="00A76CDB"/>
    <w:rsid w:val="00B0711E"/>
    <w:rsid w:val="00B83A84"/>
    <w:rsid w:val="00C2698C"/>
    <w:rsid w:val="00C631B5"/>
    <w:rsid w:val="00CF069C"/>
    <w:rsid w:val="00E653F4"/>
    <w:rsid w:val="00F6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DE3E76-178C-4FFE-A728-B4DBEA35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51941"/>
    <w:rPr>
      <w:color w:val="0000FF"/>
      <w:u w:val="single"/>
    </w:rPr>
  </w:style>
  <w:style w:type="character" w:customStyle="1" w:styleId="ref-title">
    <w:name w:val="ref-title"/>
    <w:basedOn w:val="DefaultParagraphFont"/>
    <w:rsid w:val="00A51941"/>
  </w:style>
  <w:style w:type="character" w:customStyle="1" w:styleId="ref-journal">
    <w:name w:val="ref-journal"/>
    <w:basedOn w:val="DefaultParagraphFont"/>
    <w:rsid w:val="00A51941"/>
  </w:style>
  <w:style w:type="character" w:customStyle="1" w:styleId="ref-vol">
    <w:name w:val="ref-vol"/>
    <w:basedOn w:val="DefaultParagraphFont"/>
    <w:rsid w:val="00A51941"/>
  </w:style>
  <w:style w:type="paragraph" w:styleId="NormalWeb">
    <w:name w:val="Normal (Web)"/>
    <w:basedOn w:val="Normal"/>
    <w:uiPriority w:val="99"/>
    <w:unhideWhenUsed/>
    <w:rsid w:val="00B071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0711E"/>
    <w:rPr>
      <w:i/>
      <w:iCs/>
    </w:rPr>
  </w:style>
  <w:style w:type="paragraph" w:styleId="Header">
    <w:name w:val="header"/>
    <w:basedOn w:val="Normal"/>
    <w:link w:val="HeaderChar"/>
    <w:uiPriority w:val="99"/>
    <w:unhideWhenUsed/>
    <w:rsid w:val="00B83A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A84"/>
  </w:style>
  <w:style w:type="paragraph" w:styleId="Footer">
    <w:name w:val="footer"/>
    <w:basedOn w:val="Normal"/>
    <w:link w:val="FooterChar"/>
    <w:uiPriority w:val="99"/>
    <w:unhideWhenUsed/>
    <w:rsid w:val="00B83A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051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ugabuse.gov/news-events/nida-notes/2017/03/impacts-drugs-neurotransmission" TargetMode="External"/><Relationship Id="rId3" Type="http://schemas.openxmlformats.org/officeDocument/2006/relationships/webSettings" Target="webSettings.xml"/><Relationship Id="rId7" Type="http://schemas.openxmlformats.org/officeDocument/2006/relationships/hyperlink" Target="https://www.unodc.org/unodc/en/data-and-analysis/bulletin/bulletin_1987-01-01_2_page003.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k12.org/book/ck-12-biology-advanced-concepts/section/17.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8</cp:revision>
  <dcterms:created xsi:type="dcterms:W3CDTF">2020-02-13T09:54:00Z</dcterms:created>
  <dcterms:modified xsi:type="dcterms:W3CDTF">2020-02-13T12:01:00Z</dcterms:modified>
</cp:coreProperties>
</file>